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Incivility and Job Turnover in Newly Licensed Registered Nurses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Sarah Garcia-Portillo MSN-Ed, BSN, RN   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sgportillo@utexas.edu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https://nursing.utexas.edu/academics/graduate/degree-offered/dnp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542637" cy="1995488"/>
            <wp:effectExtent b="0" l="0" r="0" t="0"/>
            <wp:wrapSquare wrapText="bothSides" distB="0" distT="0" distL="0" distR="0"/>
            <wp:docPr descr="C:\Users\s1887234\AppData\Local\Microsoft\Windows\INetCache\Content.MSO\51361A25.tmp" id="2" name="image1.png"/>
            <a:graphic>
              <a:graphicData uri="http://schemas.openxmlformats.org/drawingml/2006/picture">
                <pic:pic>
                  <pic:nvPicPr>
                    <pic:cNvPr descr="C:\Users\s1887234\AppData\Local\Microsoft\Windows\INetCache\Content.MSO\51361A25.tmp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2637" cy="1995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Incivility, bullying, and workplace violence are part of a larger complex phenomenon, which includes a “constellation of harmful actions taken and those not taken” in the workplace (Saltzberg, 2011, p. 229).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References:</w:t>
      </w:r>
    </w:p>
    <w:p w:rsidR="00000000" w:rsidDel="00000000" w:rsidP="00000000" w:rsidRDefault="00000000" w:rsidRPr="00000000" w14:paraId="0000000B">
      <w:pPr>
        <w:ind w:left="720" w:hanging="720"/>
        <w:rPr/>
      </w:pPr>
      <w:r w:rsidDel="00000000" w:rsidR="00000000" w:rsidRPr="00000000">
        <w:rPr>
          <w:rtl w:val="0"/>
        </w:rPr>
        <w:t xml:space="preserve">American Association of Colleges of Nursing. (2015). 2014–2015 Enrollment and Graduations in Baccalaureate and Graduate Programs in Nursing. Retrieved from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http://www.aacn.nche.edu/research-data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ind w:left="720" w:hanging="72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shd w:fill="f8f8f8" w:val="clear"/>
          <w:rtl w:val="0"/>
        </w:rPr>
        <w:t xml:space="preserve">Brewer, C. S., Kovner, C. T., Greene, W., Tukov</w:t>
      </w:r>
      <w:r w:rsidDel="00000000" w:rsidR="00000000" w:rsidRPr="00000000">
        <w:rPr>
          <w:rFonts w:ascii="Cambria Math" w:cs="Cambria Math" w:eastAsia="Cambria Math" w:hAnsi="Cambria Math"/>
          <w:sz w:val="20"/>
          <w:szCs w:val="20"/>
          <w:shd w:fill="f8f8f8" w:val="clear"/>
          <w:rtl w:val="0"/>
        </w:rPr>
        <w:t xml:space="preserve">‐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8f8f8" w:val="clear"/>
          <w:rtl w:val="0"/>
        </w:rPr>
        <w:t xml:space="preserve">Shuser, M., &amp; Djukic, M. (2012). Predictors of actual turnover in a national sample of newly licensed registered nurses employed in hospitals.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shd w:fill="f8f8f8" w:val="clear"/>
          <w:rtl w:val="0"/>
        </w:rPr>
        <w:t xml:space="preserve">Journal of advanced nursing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8f8f8" w:val="clear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shd w:fill="f8f8f8" w:val="clear"/>
          <w:rtl w:val="0"/>
        </w:rPr>
        <w:t xml:space="preserve">68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8f8f8" w:val="clear"/>
          <w:rtl w:val="0"/>
        </w:rPr>
        <w:t xml:space="preserve">(3), 521-538.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hanging="72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shd w:fill="f8f8f8" w:val="clear"/>
          <w:rtl w:val="0"/>
        </w:rPr>
        <w:t xml:space="preserve">Brunworth, J. A. (2015). Eating our young in nursing... Are we full yet. Retrieved from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https://www.elsevier.com/connect/eating-our-young-in-nursing-are-we-full-yet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hanging="720"/>
        <w:rPr/>
      </w:pPr>
      <w:r w:rsidDel="00000000" w:rsidR="00000000" w:rsidRPr="00000000">
        <w:rPr>
          <w:rtl w:val="0"/>
        </w:rPr>
        <w:t xml:space="preserve">McAfee, T. (2019) Reducing turnover, increasing retention. </w:t>
      </w:r>
      <w:r w:rsidDel="00000000" w:rsidR="00000000" w:rsidRPr="00000000">
        <w:rPr>
          <w:i w:val="1"/>
          <w:rtl w:val="0"/>
        </w:rPr>
        <w:t xml:space="preserve">HRO Today.</w:t>
      </w:r>
      <w:r w:rsidDel="00000000" w:rsidR="00000000" w:rsidRPr="00000000">
        <w:rPr>
          <w:rtl w:val="0"/>
        </w:rPr>
        <w:t xml:space="preserve"> Retrieved from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https://www.hrotoday.com/news/talent-acquisition/healthcare-workforce/reducing-turnover-increasing-retention/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Nursing Solutions, Inc. (2019) 2019 National Health Care Retention &amp; Staffing Report. Retrieved from </w:t>
      </w:r>
    </w:p>
    <w:p w:rsidR="00000000" w:rsidDel="00000000" w:rsidP="00000000" w:rsidRDefault="00000000" w:rsidRPr="00000000" w14:paraId="00000010">
      <w:pPr>
        <w:ind w:left="720" w:hanging="720"/>
        <w:rPr>
          <w:rFonts w:ascii="Arial" w:cs="Arial" w:eastAsia="Arial" w:hAnsi="Arial"/>
          <w:sz w:val="20"/>
          <w:szCs w:val="20"/>
          <w:shd w:fill="f8f8f8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f8f8f8" w:val="clear"/>
          <w:rtl w:val="0"/>
        </w:rPr>
        <w:t xml:space="preserve">Rogers, A. E. (2008). The effects of fatigue and sleepiness on nurse performance and patient safety. In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shd w:fill="f8f8f8" w:val="clear"/>
          <w:rtl w:val="0"/>
        </w:rPr>
        <w:t xml:space="preserve">Patient safety and </w:t>
      </w:r>
      <w:r w:rsidDel="00000000" w:rsidR="00000000" w:rsidRPr="00000000">
        <w:rPr>
          <w:rtl w:val="0"/>
        </w:rPr>
        <w:t xml:space="preserve">quality: An evidence-based handbook for nurses. Agency for Healthcare Research and Quality (US).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hanging="720"/>
        <w:rPr>
          <w:rFonts w:ascii="Arial" w:cs="Arial" w:eastAsia="Arial" w:hAnsi="Arial"/>
          <w:sz w:val="20"/>
          <w:szCs w:val="20"/>
          <w:shd w:fill="f8f8f8" w:val="clear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shd w:fill="f8f8f8" w:val="clear"/>
          <w:rtl w:val="0"/>
        </w:rPr>
        <w:t xml:space="preserve">Sears, L. E., Shi, Y., Coberley, C. R., &amp; Pope, J. E. (2013). Overall well-being as a predictor of health care, productivity, and retention outcomes in a large employer.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shd w:fill="f8f8f8" w:val="clear"/>
          <w:rtl w:val="0"/>
        </w:rPr>
        <w:t xml:space="preserve">Population Health Management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8f8f8" w:val="clear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shd w:fill="f8f8f8" w:val="clear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8f8f8" w:val="clear"/>
          <w:rtl w:val="0"/>
        </w:rPr>
        <w:t xml:space="preserve">(6), 397-405.</w:t>
      </w:r>
    </w:p>
    <w:p w:rsidR="00000000" w:rsidDel="00000000" w:rsidP="00000000" w:rsidRDefault="00000000" w:rsidRPr="00000000" w14:paraId="00000012">
      <w:pPr>
        <w:ind w:left="720" w:hanging="720"/>
        <w:rPr>
          <w:rFonts w:ascii="Arial" w:cs="Arial" w:eastAsia="Arial" w:hAnsi="Arial"/>
          <w:sz w:val="20"/>
          <w:szCs w:val="20"/>
          <w:shd w:fill="f8f8f8" w:val="clear"/>
        </w:rPr>
      </w:pPr>
      <w:r w:rsidDel="00000000" w:rsidR="00000000" w:rsidRPr="00000000">
        <w:rPr>
          <w:rtl w:val="0"/>
        </w:rPr>
        <w:t xml:space="preserve">The Joint Commission [TJC].(2012) Improving patient and worker safety: Opportunities for synergy, collaboration and innovation. Retrieved from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shd w:fill="f8f8f8" w:val="clear"/>
            <w:rtl w:val="0"/>
          </w:rPr>
          <w:t xml:space="preserve">https://www.jointcommission.org/assets/1/18/TJC-ImprovingPatientAndWorkerSafety-Monograph.pdf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hanging="72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shd w:fill="f8f8f8" w:val="clear"/>
          <w:rtl w:val="0"/>
        </w:rPr>
        <w:t xml:space="preserve">Zhu, Z., Xing, W., Lizarondo, L., Guo, M., &amp; Hu, Y. (2019). Nursing students’ experiences with faculty incivility in the clinical education context: a qualitative systematic review and meta-synthesis.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shd w:fill="f8f8f8" w:val="clear"/>
          <w:rtl w:val="0"/>
        </w:rPr>
        <w:t xml:space="preserve">BMJ open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8f8f8" w:val="clear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shd w:fill="f8f8f8" w:val="clear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8f8f8" w:val="clear"/>
          <w:rtl w:val="0"/>
        </w:rPr>
        <w:t xml:space="preserve">(2), e024383.</w:t>
      </w:r>
      <w:r w:rsidDel="00000000" w:rsidR="00000000" w:rsidRPr="00000000">
        <w:rPr>
          <w:rtl w:val="0"/>
        </w:rPr>
      </w:r>
    </w:p>
    <w:sectPr>
      <w:pgSz w:h="15840" w:w="12240"/>
      <w:pgMar w:bottom="5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936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44B5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lsevier.com/connect/eating-our-young-in-nursing-are-we-full-yet" TargetMode="External"/><Relationship Id="rId10" Type="http://schemas.openxmlformats.org/officeDocument/2006/relationships/hyperlink" Target="http://www.aacn.nche.edu/research-data" TargetMode="External"/><Relationship Id="rId13" Type="http://schemas.openxmlformats.org/officeDocument/2006/relationships/hyperlink" Target="https://www.jointcommission.org/assets/1/18/TJC-ImprovingPatientAndWorkerSafety-Monograph.pdf" TargetMode="External"/><Relationship Id="rId12" Type="http://schemas.openxmlformats.org/officeDocument/2006/relationships/hyperlink" Target="https://www.hrotoday.com/news/talent-acquisition/healthcare-workforce/reducing-turnover-increasing-retentio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gportillo@utexas.edu" TargetMode="External"/><Relationship Id="rId8" Type="http://schemas.openxmlformats.org/officeDocument/2006/relationships/hyperlink" Target="https://nursing.utexas.edu/academics/graduate/degree-offered/dn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/0kSRBn0zKAAX+A2b3tyznOZAg==">AMUW2mWdJ9YuLW+n3KoCb7b9+Lwr6d5oO8hGi1UtWBBhoudf31l+O7ojDSaW4C3VgNwgXAE/YpxFL//l/Tfo3WiA2oQ6I5V0maALsMcsNGIk3dGYrH+Jk6C0hfQokLrKBJu9wlrGuvVB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2019-12-12T20:33:00Z</dcterms:created>
  <dc:creator>Sarah Garcia-Portillo</dc:creator>
</cp:coreProperties>
</file>